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4004FD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4004FD">
        <w:rPr>
          <w:rFonts w:ascii="Arial" w:hAnsi="Arial" w:cs="Arial"/>
          <w:sz w:val="18"/>
          <w:szCs w:val="18"/>
        </w:rPr>
        <w:t xml:space="preserve">Wrocław, </w:t>
      </w:r>
      <w:r w:rsidR="00546E98" w:rsidRPr="004004FD">
        <w:rPr>
          <w:rFonts w:ascii="Arial" w:hAnsi="Arial" w:cs="Arial"/>
          <w:sz w:val="18"/>
          <w:szCs w:val="18"/>
        </w:rPr>
        <w:t>24</w:t>
      </w:r>
      <w:r w:rsidRPr="004004FD">
        <w:rPr>
          <w:rFonts w:ascii="Arial" w:hAnsi="Arial" w:cs="Arial"/>
          <w:sz w:val="18"/>
          <w:szCs w:val="18"/>
        </w:rPr>
        <w:t>.0</w:t>
      </w:r>
      <w:r w:rsidR="00E4632A" w:rsidRPr="004004FD">
        <w:rPr>
          <w:rFonts w:ascii="Arial" w:hAnsi="Arial" w:cs="Arial"/>
          <w:sz w:val="18"/>
          <w:szCs w:val="18"/>
        </w:rPr>
        <w:t>4</w:t>
      </w:r>
      <w:r w:rsidRPr="004004FD">
        <w:rPr>
          <w:rFonts w:ascii="Arial" w:hAnsi="Arial" w:cs="Arial"/>
          <w:sz w:val="18"/>
          <w:szCs w:val="18"/>
        </w:rPr>
        <w:t>.2020 r.</w:t>
      </w:r>
    </w:p>
    <w:p w:rsidR="00807840" w:rsidRPr="004004FD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4004FD">
        <w:rPr>
          <w:rFonts w:ascii="Arial" w:hAnsi="Arial" w:cs="Arial"/>
          <w:sz w:val="18"/>
          <w:szCs w:val="18"/>
        </w:rPr>
        <w:t>Nr sprawy: SP.ZP.272.</w:t>
      </w:r>
      <w:r w:rsidR="00664C7A" w:rsidRPr="004004FD">
        <w:rPr>
          <w:rFonts w:ascii="Arial" w:hAnsi="Arial" w:cs="Arial"/>
          <w:sz w:val="18"/>
          <w:szCs w:val="18"/>
        </w:rPr>
        <w:t>14</w:t>
      </w:r>
      <w:r w:rsidRPr="004004FD">
        <w:rPr>
          <w:rFonts w:ascii="Arial" w:hAnsi="Arial" w:cs="Arial"/>
          <w:sz w:val="18"/>
          <w:szCs w:val="18"/>
        </w:rPr>
        <w:t>.20</w:t>
      </w:r>
      <w:r w:rsidR="00822E21" w:rsidRPr="004004FD">
        <w:rPr>
          <w:rFonts w:ascii="Arial" w:hAnsi="Arial" w:cs="Arial"/>
          <w:sz w:val="18"/>
          <w:szCs w:val="18"/>
        </w:rPr>
        <w:t>20</w:t>
      </w:r>
      <w:r w:rsidRPr="004004FD">
        <w:rPr>
          <w:rFonts w:ascii="Arial" w:hAnsi="Arial" w:cs="Arial"/>
          <w:sz w:val="18"/>
          <w:szCs w:val="18"/>
        </w:rPr>
        <w:t>.II.</w:t>
      </w:r>
      <w:r w:rsidR="00FA387C" w:rsidRPr="004004FD">
        <w:rPr>
          <w:rFonts w:ascii="Arial" w:hAnsi="Arial" w:cs="Arial"/>
          <w:sz w:val="18"/>
          <w:szCs w:val="18"/>
        </w:rPr>
        <w:t>DT</w:t>
      </w:r>
    </w:p>
    <w:p w:rsidR="004022D7" w:rsidRPr="004004FD" w:rsidRDefault="004022D7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004FD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004FD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004FD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07840" w:rsidRPr="004004F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4022D7" w:rsidRPr="004004FD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004F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004FD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004F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004FD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4004FD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4004FD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4004FD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004FD">
        <w:rPr>
          <w:rFonts w:ascii="Arial" w:hAnsi="Arial" w:cs="Arial"/>
          <w:sz w:val="18"/>
          <w:szCs w:val="18"/>
        </w:rPr>
        <w:t xml:space="preserve">Zamawiający </w:t>
      </w:r>
      <w:r w:rsidR="004022D7" w:rsidRPr="004004FD">
        <w:rPr>
          <w:rFonts w:ascii="Arial" w:hAnsi="Arial" w:cs="Arial"/>
          <w:sz w:val="18"/>
          <w:szCs w:val="18"/>
        </w:rPr>
        <w:t>–</w:t>
      </w:r>
      <w:r w:rsidRPr="004004FD">
        <w:rPr>
          <w:rFonts w:ascii="Arial" w:hAnsi="Arial" w:cs="Arial"/>
          <w:sz w:val="18"/>
          <w:szCs w:val="18"/>
        </w:rPr>
        <w:t xml:space="preserve"> </w:t>
      </w:r>
      <w:r w:rsidRPr="004004FD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4004FD">
        <w:rPr>
          <w:rFonts w:ascii="Arial" w:hAnsi="Arial" w:cs="Arial"/>
          <w:sz w:val="18"/>
          <w:szCs w:val="18"/>
        </w:rPr>
        <w:t xml:space="preserve">, informuje, </w:t>
      </w:r>
      <w:r w:rsidR="00822E21" w:rsidRPr="004004FD">
        <w:rPr>
          <w:rFonts w:ascii="Arial" w:hAnsi="Arial" w:cs="Arial"/>
          <w:sz w:val="18"/>
          <w:szCs w:val="18"/>
        </w:rPr>
        <w:br/>
        <w:t>że w dniu</w:t>
      </w:r>
      <w:r w:rsidRPr="004004FD">
        <w:rPr>
          <w:rFonts w:ascii="Arial" w:hAnsi="Arial" w:cs="Arial"/>
          <w:sz w:val="18"/>
          <w:szCs w:val="18"/>
        </w:rPr>
        <w:t xml:space="preserve"> </w:t>
      </w:r>
      <w:r w:rsidR="002B1719" w:rsidRPr="004004FD">
        <w:rPr>
          <w:rFonts w:ascii="Arial" w:hAnsi="Arial" w:cs="Arial"/>
          <w:sz w:val="18"/>
          <w:szCs w:val="18"/>
          <w:u w:val="single"/>
        </w:rPr>
        <w:t>17</w:t>
      </w:r>
      <w:r w:rsidRPr="004004FD">
        <w:rPr>
          <w:rFonts w:ascii="Arial" w:hAnsi="Arial" w:cs="Arial"/>
          <w:sz w:val="18"/>
          <w:szCs w:val="18"/>
          <w:u w:val="single"/>
        </w:rPr>
        <w:t>.0</w:t>
      </w:r>
      <w:r w:rsidR="002B1719" w:rsidRPr="004004FD">
        <w:rPr>
          <w:rFonts w:ascii="Arial" w:hAnsi="Arial" w:cs="Arial"/>
          <w:sz w:val="18"/>
          <w:szCs w:val="18"/>
          <w:u w:val="single"/>
        </w:rPr>
        <w:t>4</w:t>
      </w:r>
      <w:r w:rsidRPr="004004FD">
        <w:rPr>
          <w:rFonts w:ascii="Arial" w:hAnsi="Arial" w:cs="Arial"/>
          <w:sz w:val="18"/>
          <w:szCs w:val="18"/>
          <w:u w:val="single"/>
        </w:rPr>
        <w:t>.2020 r.</w:t>
      </w:r>
      <w:r w:rsidR="002B1719" w:rsidRPr="004004FD">
        <w:rPr>
          <w:rFonts w:ascii="Arial" w:hAnsi="Arial" w:cs="Arial"/>
          <w:sz w:val="18"/>
          <w:szCs w:val="18"/>
          <w:u w:val="single"/>
        </w:rPr>
        <w:t>, 20.04.2020 r.,</w:t>
      </w:r>
      <w:r w:rsidRPr="004004FD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4004FD">
        <w:rPr>
          <w:rFonts w:ascii="Arial" w:hAnsi="Arial" w:cs="Arial"/>
          <w:sz w:val="18"/>
          <w:szCs w:val="18"/>
        </w:rPr>
        <w:t xml:space="preserve">Specyfikacji </w:t>
      </w:r>
      <w:r w:rsidRPr="004004FD">
        <w:rPr>
          <w:rFonts w:ascii="Arial" w:hAnsi="Arial" w:cs="Arial"/>
          <w:sz w:val="18"/>
          <w:szCs w:val="18"/>
        </w:rPr>
        <w:t>Istotnych Warunków Zamówienia (</w:t>
      </w:r>
      <w:r w:rsidR="00FA387C" w:rsidRPr="004004FD">
        <w:rPr>
          <w:rFonts w:ascii="Arial" w:hAnsi="Arial" w:cs="Arial"/>
          <w:sz w:val="18"/>
          <w:szCs w:val="18"/>
        </w:rPr>
        <w:t>S</w:t>
      </w:r>
      <w:r w:rsidRPr="004004FD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4004FD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4004FD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4004FD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4004FD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4004FD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004FD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4004FD" w:rsidRDefault="00807840" w:rsidP="002B1719">
      <w:pPr>
        <w:spacing w:after="0" w:line="240" w:lineRule="auto"/>
        <w:jc w:val="both"/>
        <w:rPr>
          <w:b/>
        </w:rPr>
      </w:pPr>
    </w:p>
    <w:p w:rsidR="00807840" w:rsidRPr="004004FD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004FD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potwierdza, że termin gwarancji dla kompletu łyżek i </w:t>
      </w:r>
      <w:proofErr w:type="spellStart"/>
      <w:r w:rsidRPr="004004FD">
        <w:rPr>
          <w:rFonts w:ascii="Arial" w:eastAsiaTheme="minorHAnsi" w:hAnsi="Arial" w:cs="Arial"/>
          <w:sz w:val="18"/>
          <w:szCs w:val="18"/>
          <w:lang w:eastAsia="en-US"/>
        </w:rPr>
        <w:t>mulczera</w:t>
      </w:r>
      <w:proofErr w:type="spellEnd"/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 wynosi 12 miesięcy bez ograniczeń w ilości </w:t>
      </w:r>
      <w:proofErr w:type="spellStart"/>
      <w:r w:rsidRPr="004004FD">
        <w:rPr>
          <w:rFonts w:ascii="Arial" w:eastAsiaTheme="minorHAnsi" w:hAnsi="Arial" w:cs="Arial"/>
          <w:sz w:val="18"/>
          <w:szCs w:val="18"/>
          <w:lang w:eastAsia="en-US"/>
        </w:rPr>
        <w:t>mtg</w:t>
      </w:r>
      <w:proofErr w:type="spellEnd"/>
      <w:r w:rsidRPr="004004FD">
        <w:rPr>
          <w:rFonts w:ascii="Arial" w:eastAsiaTheme="minorHAnsi" w:hAnsi="Arial" w:cs="Arial"/>
          <w:sz w:val="18"/>
          <w:szCs w:val="18"/>
          <w:lang w:eastAsia="en-US"/>
        </w:rPr>
        <w:t>? W SIWZ w pkt. 5.7 oraz w załączniku 6.2 w pkt. 30 jest mowa o 24 miesiącach</w:t>
      </w:r>
    </w:p>
    <w:p w:rsidR="002B1719" w:rsidRPr="004004FD" w:rsidRDefault="002B1719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004FD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Termin gwarancji dla kompletu łyżek i </w:t>
      </w:r>
      <w:proofErr w:type="spellStart"/>
      <w:r w:rsidRPr="004004FD">
        <w:rPr>
          <w:rFonts w:ascii="Arial" w:eastAsiaTheme="minorHAnsi" w:hAnsi="Arial" w:cs="Arial"/>
          <w:sz w:val="18"/>
          <w:szCs w:val="18"/>
          <w:lang w:eastAsia="en-US"/>
        </w:rPr>
        <w:t>mulczera</w:t>
      </w:r>
      <w:proofErr w:type="spellEnd"/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 wynosi 12 miesięcy bez ograniczeń w ilości </w:t>
      </w:r>
      <w:proofErr w:type="spellStart"/>
      <w:r w:rsidRPr="004004FD">
        <w:rPr>
          <w:rFonts w:ascii="Arial" w:eastAsiaTheme="minorHAnsi" w:hAnsi="Arial" w:cs="Arial"/>
          <w:sz w:val="18"/>
          <w:szCs w:val="18"/>
          <w:lang w:eastAsia="en-US"/>
        </w:rPr>
        <w:t>mtg</w:t>
      </w:r>
      <w:proofErr w:type="spellEnd"/>
      <w:r w:rsidRPr="004004FD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2B1719" w:rsidRPr="004004FD" w:rsidRDefault="002B1719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2B1719" w:rsidRPr="004004FD" w:rsidRDefault="002B1719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004FD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2: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wymaga wliczenia kosztu przeglądów gwarancyjnych do 3000mtg bez względu na długość gwarancji i ilość motogodzin jaką zaoferuje Wykonawca? 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2:</w:t>
      </w:r>
    </w:p>
    <w:p w:rsidR="002B1719" w:rsidRPr="004004FD" w:rsidRDefault="00546E98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Zgodnie z pkt. 31 Specyfikacji technicznej stanowiącej załącznik 6.2. do SIWZ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3: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 podpisanie umowy z wybranym Wykonawcą drogą korespondencyjną tj. pocztą/kurierem? </w:t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3:</w:t>
      </w:r>
    </w:p>
    <w:p w:rsidR="00546E98" w:rsidRPr="004004FD" w:rsidRDefault="00546E98" w:rsidP="00546E98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Podpisanie umowy na realizację przedmiotu zamówienia nastąpi w siedzibie Zamawiającego w terminie związania ofertą, ustalony indywidualnie z Wykonawcą, który złoży ofertę najkorzystniejszą pod względem kryteriów oceny ofert. Jedynie w sytuacjach wyjątkowych, niezależnych od Zamawiającego i Wykonawcy, może zostać dopuszczona inna forma przekazania i podpisania umowy szczegółowo uzgodniona z Zamawiającym.</w:t>
      </w:r>
    </w:p>
    <w:p w:rsidR="00546E98" w:rsidRPr="004004FD" w:rsidRDefault="00546E98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4: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zaakceptuje przedłożenie oświadczenia Wykonawcy o zainstalowanym w maszynie systemie monitorującym parametry maszyny wraz z informacją na jak długo jest ten system aktywny? System ten jest integralną częścią maszyny, a o momencie uruchomienia go i na jak długo decyduje Wykonawca po sprzedaży maszyny. Obsługa systemu na stronie www jest w języku polskim.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lastRenderedPageBreak/>
        <w:t>Odpowiedź nr 4:</w:t>
      </w:r>
    </w:p>
    <w:p w:rsidR="00546E98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zaakceptuje oświadczenie Wykonawcy o zainstalowanym systemie pod warunkiem, że oświadczenie będzie w j. polskim.</w:t>
      </w:r>
      <w:r w:rsidR="00546E98" w:rsidRPr="004004FD">
        <w:t xml:space="preserve"> </w:t>
      </w:r>
      <w:r w:rsidR="00546E98" w:rsidRPr="004004FD">
        <w:rPr>
          <w:rFonts w:ascii="Arial" w:eastAsiaTheme="minorHAnsi" w:hAnsi="Arial" w:cs="Arial"/>
          <w:sz w:val="18"/>
          <w:szCs w:val="18"/>
          <w:lang w:eastAsia="en-US"/>
        </w:rPr>
        <w:t>Zamawiający modyfikuje zapisy specyfikacji technicznej i formularza oferty.</w:t>
      </w:r>
    </w:p>
    <w:p w:rsidR="00546E98" w:rsidRPr="004004FD" w:rsidRDefault="00546E98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5: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zaakceptuje przedłożenie parametrów maszyny ze strony producenta w wersji angielskiej oraz polski odpowiednik specyfikacji jaką dysponujemy jako autoryzowany dealer producenta w postaci katalogu w języku polskim?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5: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Zamawiający zaakceptuje przedłożenie parametrów maszyny, kompletu łyżek i </w:t>
      </w:r>
      <w:proofErr w:type="spellStart"/>
      <w:r w:rsidRPr="004004FD">
        <w:rPr>
          <w:rFonts w:ascii="Arial" w:eastAsiaTheme="minorHAnsi" w:hAnsi="Arial" w:cs="Arial"/>
          <w:sz w:val="18"/>
          <w:szCs w:val="18"/>
          <w:lang w:eastAsia="en-US"/>
        </w:rPr>
        <w:t>mulczera</w:t>
      </w:r>
      <w:proofErr w:type="spellEnd"/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 ze strony producenta w wersji obcojęzycznej wraz z polskim odpowiednikiem specyfikacji. </w:t>
      </w:r>
      <w:r w:rsidR="00546E98" w:rsidRPr="004004FD">
        <w:rPr>
          <w:rFonts w:ascii="Arial" w:eastAsiaTheme="minorHAnsi" w:hAnsi="Arial" w:cs="Arial"/>
          <w:sz w:val="18"/>
          <w:szCs w:val="18"/>
          <w:lang w:eastAsia="en-US"/>
        </w:rPr>
        <w:t>Zamawiający modyfikuje zapisy specyfikacji technicznej i formularza oferty.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6: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w przypadku o którym mowa we wzorze umowy w § 7 ust. 7 odstąpi od zlecania naprawy osobie trzeciej w momencie podstawienia przez Wykonawcę w okresie gwarancji na czas przedłużającej się naprawy/wymiany maszynę zastępczą?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6: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Zamawiający odstąpi od zlecenia naprawy osobie trzeciej pod warunkiem podstawienia przez Wykonawcę maszyny zastępczej. 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modyfikuje treść projektu umowy w zakresie: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 §7 ust.7 dopisuje się „z zastrzeżeniem ust 20 § 8 niniejszej umowy”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 §8 ust. 16 otrzymuje brzmienie: „W przypadku, gdy usunięcie wady, awarii (usterki) w terminie przewidzianym w ust. 15 nie będzie możliwe, np. wobec konieczności sprowadzenia części zamiennych lub podzespołów z zagranicy, strony uzgodnią nowy termin naprawy, który będzie terminem wiążącym.”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dopisuje się §8 20 o treści: „W przypadku braku możliwości dochowania terminów, o których mowa w ust. 16 i 17 Zamawiający dopuszcza podstawienie sprzętu zastępczego w okresie gwarancji na czas trwania usuwania wad, awarii (usterek), o których mowa w ust. 16 lub naprawy, o której mowa w ust. 17.”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7: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odstąpi od naliczania kary o której mowa w umowie § 9 ust. 4 w momencie podstawienia nieodpłatnie na czas przedłużającej się naprawy maszyny zastępczej? 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7: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W przypadku podstawienie maszyny zastępczej na czas naprawy Zamawiający odstąpi od naliczania kary o której mowa w umowie §9 ust.4.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W §9 ust.4 dopisuje się „z zastrzeżeniem ust 20 § 8 niniejszej umowy”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8: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 aby maszyna zastępcza nie była dostarczona z tym samym osprzętem co zaoferowana w przetargu, ponieważ ta wymagana w przetargu jest kompletowana pod specjalne zamówienie Zamawiającego i nie posiadamy na stanie maszyny identycznie wyposażonej. 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 nr 8: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zaakceptuje aby maszyna zastępcza nie była dostarczona z tym samym osprzętem co zaoferowana w przetargu.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9:</w:t>
      </w:r>
    </w:p>
    <w:p w:rsidR="006E66ED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zmodyfikuje zapis o którym mowa we wzorze umowy w § 8 ust. 5 aby wydłużenie gwarancji następowało na istotny element koparki po każdorazowej wymianie tego elementu, a nie po każdej naprawie? </w:t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lastRenderedPageBreak/>
        <w:t>Odpowiedź</w:t>
      </w:r>
      <w:r w:rsidR="006E66ED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9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zamieszcza modyfikację treści umowy w §8 ust. 5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10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zaakceptuje, aby wydłużenie gwarancji na wymieniony element wynosiło 12 miesięcy, a nie </w:t>
      </w:r>
      <w:r w:rsidR="006E66ED"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24 miesiące jak określono w § 8 ust. 5? 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</w:t>
      </w:r>
      <w:r w:rsidR="006E66ED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10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nie wyraża zgody na skrócenie okresu gwarancji na wymienione elementy.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</w:t>
      </w:r>
      <w:r w:rsidR="006E66ED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1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zmodyfikuje zapisy we wzorze umowy w § 8 ust. 17 w taki sposób, aby wymianie po 4 krotnej naprawie tego samego elementu podlegał dany element koparko-ładowarki? Jednocześnie prosimy o zamianę słowa urządzenie na element.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Odpowiedź 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nr 1</w:t>
      </w:r>
      <w:r w:rsidR="006E66ED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1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informuję, że przedmiotem postępowania przetargowego jest dostawa koparki, a nie jak wynika z treści zapytania koparko – ładowarki.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Jednocześnie § 8 ust. 17 otrzymuje brzmienie: „Strony zgodnie postanawiają, iż jeżeli w terminie gwarancyjnym poszczególne urządzenia/części (podzespołów) będą wymagały 4 napraw, rozumianych jako naprawienie tego samego urządzenia lub części lub ich wymianę, powodujących przestój w pracy min. 7 dni roboczych, Zamawiającemu będzie przysługiwało prawo do żądania wymiany ww. urządzeniu/części na fabrycznie nowe. Wymiana nastąpi w terminie 10 tygodni od daty zgłoszenia wad występujących po trzeciej naprawie.”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12: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zaakceptuje, aby zapis § 8 ust. 17 nie dotyczył naprawy osprzętu? 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12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nie zaakceptuje aby zapis §8 ust. 17 nie dotyczył naprawy osprzętu.</w:t>
      </w:r>
    </w:p>
    <w:p w:rsidR="00185FEF" w:rsidRPr="004004FD" w:rsidRDefault="00185FEF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6E66ED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13:</w:t>
      </w:r>
    </w:p>
    <w:p w:rsidR="00185FEF" w:rsidRPr="004004FD" w:rsidRDefault="002B1719" w:rsidP="006E66ED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zaakceptuje, aby termin na naprawę osprzętu był każdorazowo uzgadniany z Wykonawcą? </w:t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13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6E66ED" w:rsidRPr="004004FD" w:rsidRDefault="006E66ED" w:rsidP="006E66ED">
      <w:pPr>
        <w:spacing w:after="0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Termin napraw zgodnie z wzorem umowy §8 ust. 15, 16 i 17</w:t>
      </w:r>
    </w:p>
    <w:p w:rsidR="006E66ED" w:rsidRPr="004004FD" w:rsidRDefault="006E66ED" w:rsidP="006E66ED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</w:p>
    <w:p w:rsidR="00185FEF" w:rsidRPr="004004FD" w:rsidRDefault="00185FEF" w:rsidP="006E66ED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14:</w:t>
      </w:r>
    </w:p>
    <w:p w:rsidR="00185FEF" w:rsidRPr="004004FD" w:rsidRDefault="002B1719" w:rsidP="006E66ED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usunie zapis ze wzoru umowy w § 8 ust. 7? Producent nie przewiduje wydłużenia gwarancji po każdorazowej naprawie/ wymianie elementu?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14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nie wyraża zgody na usunięcie zapisu we wzorze umowy §8 ust.7.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15: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wymaga wliczenia w cenę oferty kosztu przeglądów osprzętów? Dot. wzoru umowy § 8 ust. 8. Jeśli tak, prośba o odstąpienie.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Odpowiedź 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nr 15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wymaga wliczenia w cenę oferty kosztów przeglądu maszyny wraz ogólnym przeglądem (oceniającym stan osprzętu mogący wpłynąć na prawidłową pracę maszyny) osprzętu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16: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potwierdza, że termin na wykonanie przeglądu o którym mowa we wzorze umowy w § 8 ust. 10 dotyczy jedynie wykonania przeglądu maszyny, a nie przeglądu na osprzęt? 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lastRenderedPageBreak/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16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wymaga wliczenia w cenę oferty kosztów przeglądu maszyny wraz ogólnym przeglądem (oceniającym stan osprzętu mogący wpłynąć na prawidłową pracę maszyny) osprzętu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17: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zaakceptuje podjęcie czynności serwisowych tj. przyjazd serwisanta w ciągu 48 godzin, liczone w dni robocze od poniedziałku do piątku? Dot. wzoru umowy § 8 ust. 18 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Odpowiedź 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nr 17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185FEF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§8 ust.18  otrzymuje brzmienie:  „Wykonawca zapewni serwisy gwarancyjne i pogwarancyjne, tj. podjęcie czynności serwisowych (rozumianych jako przyjazd serwisu) w ciągu 2 dni roboczych od dnia powiadomienia – pisemnego lub elektronicznego. ”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18: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Czy Zamawiający potwierdza, że bezpłatna wymiana części oraz usuwanie awarii i usterek w okresie gwarancji dotyczy tylko tych awarii/usterek i napraw, które nie powstały z winy Zamawiającego przez niezgodne z instrukcją użytkowanie sprzętu jak również nie były mechanicznym uszkodzeniem? 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18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potwierdza, że bezpłatna wymiana części oraz usuwanie awarii i usterek w okresie gwarancji dotyczy tylko tych awarii/usterek i napraw, które nie powstały z winy Zamawiającego przez niezgodne z instrukcją użytkowania sprzętu w języku polskim.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W § 8 ustęp 21 dopisuje się: „Bezpłatna wymiana części oraz usuwanie awarii i usterek i naprawy w okresie gwarancji, o których mowa w niniejszym paragrafie dotyczy tylko tych awarii/usterek i napraw, które nie powstały z winy Zamawiającego przez niezgodne z instrukcją użytkowania sprzętu w języku polskim”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19: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Dot. wzoru umowy § 3 ust. 7 Czy Zamawiający zaakceptuje standardową fakturę w wersji papierowej albo wersję elektroniczną faktury w PDF? Wykonawca nie ma możliwości wystawienia ustrukturyz</w:t>
      </w:r>
      <w:r w:rsidR="00185FEF" w:rsidRPr="004004FD">
        <w:rPr>
          <w:rFonts w:ascii="Arial" w:eastAsiaTheme="minorHAnsi" w:hAnsi="Arial" w:cs="Arial"/>
          <w:sz w:val="18"/>
          <w:szCs w:val="18"/>
          <w:lang w:eastAsia="en-US"/>
        </w:rPr>
        <w:t xml:space="preserve">owanej faktury elektronicznej. </w:t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19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informuje iż forma ustrukturyzowanych faktur elektronicznych, o których mowa w § 3 ust. 7 projektu umowy, nie jest to jedyna i bezwzględnie wymagalna forma składania faktur.</w:t>
      </w: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ytanie nr 20: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dopuszcza maszynę z krótkim tyłem obrotu, o promieniu zataczania 1550mm?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20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ze względu na charakter robót nie dopuszcza maszyny z krótkim tyłem o promieniu zataczania 1550mm.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21: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dopuszcza maszynę o mocy silnika 74,4kW?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21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Tak, Zamawiający w dniu 16.04.2020r dokonał modyfikacji specyfikacji w tym zakresie.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22: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</w:t>
      </w:r>
      <w:r w:rsidR="002B1719" w:rsidRPr="004004FD">
        <w:rPr>
          <w:rFonts w:ascii="Arial" w:eastAsiaTheme="minorHAnsi" w:hAnsi="Arial" w:cs="Arial"/>
          <w:sz w:val="18"/>
          <w:szCs w:val="18"/>
          <w:lang w:eastAsia="en-US"/>
        </w:rPr>
        <w:t>zy Zamawiający dopuszcza maszynę bez systemu amortyzacji ramienia?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22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dopuszcza maszynę bez systemu amortyzacji ramienia. Zamawiający modyfikuje zapisy w załączniku 1 i 6.2 do SIWZ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6E66ED" w:rsidRPr="004004FD" w:rsidRDefault="006E66ED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lastRenderedPageBreak/>
        <w:t>Pytanie nr 23: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Zamawiający dopuszcza maszynę bez tylnej wycieraczki szyby?</w:t>
      </w:r>
    </w:p>
    <w:p w:rsidR="00185FEF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185FEF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23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dopuszcza maszynę bez tylnej wycieraczki.</w:t>
      </w: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185FEF" w:rsidRPr="004004FD" w:rsidRDefault="00185FEF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24: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dopuszcza się odstępstwa od następujących punktów z załącznika 6.2?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Pkt 23.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braku wycieraczki tylne,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Pkt 24.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braku oświetlenia roboczego z boku maszyny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fabrycznie montowana lampa z tyłu maszyny – 1szt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Pkt 25.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braku systemu amortyzacji łyżki,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Pkt 27.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- braku możliwości dziennego zestawienia pracy w MTH(motogodzinach)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Istnieje możliwość dziennego zestawienia czasu pracy w h(w godzinach/minutach) na podstawie systemu monitorowania lokalizacji i danych monitorujących pracę maszyny (czasu pracy, zużycia paliwa)</w:t>
      </w:r>
      <w:r w:rsidRPr="004004FD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E46997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24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modyfikuje zapisy załącznika 6.2</w:t>
      </w:r>
    </w:p>
    <w:p w:rsidR="00E46997" w:rsidRPr="004004FD" w:rsidRDefault="00E46997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E46997" w:rsidRPr="004004FD" w:rsidRDefault="00E46997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Pytanie nr 25: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Czy dopuszcza się odstępstwa w parametrze długości minimalnej ramienia – ostatni człon w punkcie 12 z specyfikacji technicznej do formularza oferty (załącznik nr 1 do SIWZ)</w:t>
      </w:r>
    </w:p>
    <w:p w:rsidR="00E46997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Odpowiedź</w:t>
      </w:r>
      <w:r w:rsidR="00E46997"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 xml:space="preserve"> nr 25</w:t>
      </w:r>
      <w:r w:rsidRPr="004004FD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:</w:t>
      </w:r>
    </w:p>
    <w:p w:rsidR="002B1719" w:rsidRPr="004004FD" w:rsidRDefault="002B1719" w:rsidP="002B1719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004FD">
        <w:rPr>
          <w:rFonts w:ascii="Arial" w:eastAsiaTheme="minorHAnsi" w:hAnsi="Arial" w:cs="Arial"/>
          <w:sz w:val="18"/>
          <w:szCs w:val="18"/>
          <w:lang w:eastAsia="en-US"/>
        </w:rPr>
        <w:t>Zamawiający modyfikuje zapisy załącznika nr 1 do SIWZ.</w:t>
      </w:r>
    </w:p>
    <w:p w:rsidR="002B1719" w:rsidRPr="004004FD" w:rsidRDefault="002B1719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2B1719" w:rsidRPr="004004FD" w:rsidRDefault="002B1719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4004FD" w:rsidRDefault="009A570F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4022D7" w:rsidRPr="004004FD" w:rsidRDefault="004022D7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807840" w:rsidRPr="004004FD" w:rsidRDefault="007147D8" w:rsidP="002B1719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004FD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sectPr w:rsidR="00807840" w:rsidRPr="004004FD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004FD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04FD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1605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2020-01-23T13:11:00Z</cp:lastPrinted>
  <dcterms:created xsi:type="dcterms:W3CDTF">2020-04-20T12:01:00Z</dcterms:created>
  <dcterms:modified xsi:type="dcterms:W3CDTF">2020-09-17T07:25:00Z</dcterms:modified>
</cp:coreProperties>
</file>